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0F" w:rsidRPr="0012510F" w:rsidRDefault="0012510F" w:rsidP="0012510F">
      <w:pPr>
        <w:pStyle w:val="Default"/>
        <w:jc w:val="center"/>
        <w:rPr>
          <w:b/>
          <w:sz w:val="28"/>
          <w:szCs w:val="20"/>
        </w:rPr>
      </w:pPr>
      <w:bookmarkStart w:id="0" w:name="_GoBack"/>
      <w:bookmarkEnd w:id="0"/>
      <w:r w:rsidRPr="0012510F">
        <w:rPr>
          <w:b/>
          <w:sz w:val="28"/>
          <w:szCs w:val="20"/>
        </w:rPr>
        <w:t>Summary of IB Diploma Attainment Requirements</w:t>
      </w:r>
    </w:p>
    <w:p w:rsidR="00DA06BB" w:rsidRPr="00DA06BB" w:rsidRDefault="00DA06BB" w:rsidP="0012510F">
      <w:pPr>
        <w:pStyle w:val="Default"/>
        <w:jc w:val="center"/>
        <w:rPr>
          <w:b/>
          <w:sz w:val="16"/>
          <w:szCs w:val="20"/>
        </w:rPr>
      </w:pPr>
    </w:p>
    <w:p w:rsidR="0012510F" w:rsidRDefault="0012510F" w:rsidP="00F224CC">
      <w:pPr>
        <w:pStyle w:val="Defaul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7248"/>
      </w:tblGrid>
      <w:tr w:rsidR="00993AA4" w:rsidTr="00993AA4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A4" w:rsidRPr="005F3111" w:rsidRDefault="00993AA4" w:rsidP="00993AA4">
            <w:pPr>
              <w:pStyle w:val="Default"/>
              <w:rPr>
                <w:b/>
                <w:color w:val="0070C0"/>
                <w:sz w:val="20"/>
                <w:szCs w:val="20"/>
              </w:rPr>
            </w:pPr>
            <w:r w:rsidRPr="005F3111">
              <w:rPr>
                <w:b/>
                <w:color w:val="0070C0"/>
                <w:sz w:val="20"/>
                <w:szCs w:val="20"/>
              </w:rPr>
              <w:t>IB Diploma</w:t>
            </w:r>
            <w:r w:rsidR="007E59FA" w:rsidRPr="005F3111">
              <w:rPr>
                <w:b/>
                <w:color w:val="0070C0"/>
                <w:sz w:val="20"/>
                <w:szCs w:val="20"/>
              </w:rPr>
              <w:t xml:space="preserve"> Program</w:t>
            </w:r>
            <w:r w:rsidR="007E6618" w:rsidRPr="005F3111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E6618" w:rsidRPr="005F3111">
              <w:rPr>
                <w:b/>
                <w:color w:val="0070C0"/>
                <w:sz w:val="20"/>
                <w:szCs w:val="20"/>
              </w:rPr>
              <w:br/>
            </w:r>
            <w:r w:rsidR="005C652B" w:rsidRPr="005F3111">
              <w:rPr>
                <w:b/>
                <w:color w:val="0070C0"/>
                <w:sz w:val="20"/>
                <w:szCs w:val="20"/>
              </w:rPr>
              <w:t>Components</w:t>
            </w:r>
            <w:r w:rsidR="00E936C8" w:rsidRPr="005F3111">
              <w:rPr>
                <w:b/>
                <w:color w:val="0070C0"/>
                <w:sz w:val="20"/>
                <w:szCs w:val="20"/>
              </w:rPr>
              <w:t xml:space="preserve"> &amp; </w:t>
            </w:r>
            <w:r w:rsidR="007E6618" w:rsidRPr="005F3111">
              <w:rPr>
                <w:b/>
                <w:color w:val="0070C0"/>
                <w:sz w:val="20"/>
                <w:szCs w:val="20"/>
              </w:rPr>
              <w:t xml:space="preserve">IB </w:t>
            </w:r>
            <w:r w:rsidR="00E936C8" w:rsidRPr="005F3111">
              <w:rPr>
                <w:b/>
                <w:color w:val="0070C0"/>
                <w:sz w:val="20"/>
                <w:szCs w:val="20"/>
              </w:rPr>
              <w:t>Scores Possible</w:t>
            </w:r>
          </w:p>
          <w:p w:rsidR="00DA06BB" w:rsidRDefault="00DA06BB" w:rsidP="00DA06B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World Language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011D6F">
              <w:rPr>
                <w:sz w:val="18"/>
                <w:szCs w:val="20"/>
              </w:rPr>
              <w:t>History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Science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Math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Art or</w:t>
            </w:r>
            <w:r>
              <w:rPr>
                <w:sz w:val="18"/>
                <w:szCs w:val="20"/>
              </w:rPr>
              <w:t xml:space="preserve"> other IB</w:t>
            </w:r>
            <w:r w:rsidR="00993AA4" w:rsidRPr="00993AA4">
              <w:rPr>
                <w:sz w:val="18"/>
                <w:szCs w:val="20"/>
              </w:rPr>
              <w:t xml:space="preserve"> Elective</w:t>
            </w:r>
            <w:r>
              <w:rPr>
                <w:sz w:val="18"/>
                <w:szCs w:val="20"/>
              </w:rPr>
              <w:tab/>
              <w:t>1-7</w:t>
            </w:r>
          </w:p>
          <w:p w:rsidR="00E936C8" w:rsidRPr="00993AA4" w:rsidRDefault="00E936C8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</w:p>
          <w:p w:rsidR="00E936C8" w:rsidRPr="008A6B16" w:rsidRDefault="00E936C8" w:rsidP="00E936C8">
            <w:pPr>
              <w:pStyle w:val="Default"/>
              <w:ind w:left="90"/>
              <w:rPr>
                <w:i/>
                <w:color w:val="0070C0"/>
                <w:sz w:val="18"/>
                <w:szCs w:val="20"/>
              </w:rPr>
            </w:pPr>
            <w:r w:rsidRPr="008A6B16">
              <w:rPr>
                <w:i/>
                <w:color w:val="0070C0"/>
                <w:sz w:val="16"/>
                <w:szCs w:val="20"/>
              </w:rPr>
              <w:t xml:space="preserve">At least 3 but no more than 4 subjects </w:t>
            </w:r>
            <w:r w:rsidRPr="008A6B16">
              <w:rPr>
                <w:i/>
                <w:color w:val="0070C0"/>
                <w:sz w:val="16"/>
                <w:szCs w:val="20"/>
              </w:rPr>
              <w:br/>
              <w:t>must be completed at Higher Level (HL).</w:t>
            </w:r>
            <w:r w:rsidRPr="008A6B16">
              <w:rPr>
                <w:i/>
                <w:color w:val="0070C0"/>
                <w:sz w:val="16"/>
                <w:szCs w:val="20"/>
              </w:rPr>
              <w:br/>
              <w:t>Only 6 IB subjects – one in each of these subjects - may contribute to the IB Diploma total score.</w:t>
            </w:r>
          </w:p>
          <w:p w:rsidR="00E936C8" w:rsidRDefault="00E936C8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</w:p>
          <w:p w:rsidR="00993AA4" w:rsidRDefault="00993AA4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Theory of Knowledge</w:t>
            </w:r>
            <w:r w:rsidR="009118F5">
              <w:rPr>
                <w:sz w:val="18"/>
                <w:szCs w:val="20"/>
              </w:rPr>
              <w:t xml:space="preserve"> (ToK)</w:t>
            </w:r>
            <w:r w:rsidR="00E936C8">
              <w:rPr>
                <w:sz w:val="18"/>
                <w:szCs w:val="20"/>
              </w:rPr>
              <w:tab/>
              <w:t>A-E</w:t>
            </w:r>
          </w:p>
          <w:p w:rsidR="00E936C8" w:rsidRDefault="00E936C8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Extended Essay (EE)</w:t>
            </w:r>
            <w:r>
              <w:rPr>
                <w:sz w:val="18"/>
                <w:szCs w:val="20"/>
              </w:rPr>
              <w:tab/>
              <w:t>A-E</w:t>
            </w:r>
          </w:p>
          <w:p w:rsidR="00993AA4" w:rsidRDefault="00993AA4" w:rsidP="00993AA4">
            <w:pPr>
              <w:pStyle w:val="Default"/>
              <w:rPr>
                <w:sz w:val="18"/>
                <w:szCs w:val="20"/>
              </w:rPr>
            </w:pPr>
          </w:p>
          <w:p w:rsidR="00E936C8" w:rsidRPr="008A6B16" w:rsidRDefault="00E936C8" w:rsidP="00E936C8">
            <w:pPr>
              <w:pStyle w:val="Default"/>
              <w:ind w:left="90"/>
              <w:rPr>
                <w:color w:val="0070C0"/>
                <w:sz w:val="18"/>
                <w:szCs w:val="20"/>
              </w:rPr>
            </w:pPr>
            <w:r w:rsidRPr="008A6B16">
              <w:rPr>
                <w:i/>
                <w:color w:val="0070C0"/>
                <w:sz w:val="16"/>
                <w:szCs w:val="20"/>
              </w:rPr>
              <w:t>See matrix below for how ToK and EE grades of A-E contribute to 3 additional</w:t>
            </w:r>
            <w:r w:rsidRPr="008A6B16">
              <w:rPr>
                <w:i/>
                <w:color w:val="0070C0"/>
                <w:sz w:val="16"/>
                <w:szCs w:val="20"/>
              </w:rPr>
              <w:br/>
              <w:t>points toward the IB Diploma total score.</w:t>
            </w:r>
          </w:p>
          <w:p w:rsidR="00E936C8" w:rsidRDefault="00E936C8" w:rsidP="00993AA4">
            <w:pPr>
              <w:pStyle w:val="Default"/>
              <w:rPr>
                <w:sz w:val="18"/>
                <w:szCs w:val="20"/>
              </w:rPr>
            </w:pPr>
          </w:p>
          <w:p w:rsidR="00050BF6" w:rsidRDefault="00993AA4" w:rsidP="00993AA4">
            <w:pPr>
              <w:pStyle w:val="Default"/>
              <w:rPr>
                <w:sz w:val="20"/>
                <w:szCs w:val="20"/>
              </w:rPr>
            </w:pPr>
            <w:r w:rsidRPr="00A26322">
              <w:rPr>
                <w:sz w:val="20"/>
                <w:szCs w:val="20"/>
              </w:rPr>
              <w:t>C</w:t>
            </w:r>
            <w:r w:rsidR="001E6A17">
              <w:rPr>
                <w:sz w:val="20"/>
                <w:szCs w:val="20"/>
              </w:rPr>
              <w:t>reativity-</w:t>
            </w:r>
            <w:r w:rsidRPr="00A26322">
              <w:rPr>
                <w:sz w:val="20"/>
                <w:szCs w:val="20"/>
              </w:rPr>
              <w:t>A</w:t>
            </w:r>
            <w:r w:rsidR="001E6A17">
              <w:rPr>
                <w:sz w:val="20"/>
                <w:szCs w:val="20"/>
              </w:rPr>
              <w:t>ction-</w:t>
            </w:r>
            <w:r w:rsidRPr="00A26322">
              <w:rPr>
                <w:sz w:val="20"/>
                <w:szCs w:val="20"/>
              </w:rPr>
              <w:t>S</w:t>
            </w:r>
            <w:r w:rsidR="001E6A17">
              <w:rPr>
                <w:sz w:val="20"/>
                <w:szCs w:val="20"/>
              </w:rPr>
              <w:t>ervice (CAS)</w:t>
            </w:r>
          </w:p>
          <w:p w:rsidR="00DA06BB" w:rsidRPr="00E936C8" w:rsidRDefault="00E936C8" w:rsidP="00E936C8">
            <w:pPr>
              <w:pStyle w:val="Default"/>
              <w:ind w:left="90"/>
              <w:rPr>
                <w:b/>
                <w:i/>
                <w:color w:val="808080" w:themeColor="background1" w:themeShade="80"/>
                <w:sz w:val="18"/>
                <w:szCs w:val="20"/>
              </w:rPr>
            </w:pPr>
            <w:r>
              <w:rPr>
                <w:i/>
                <w:sz w:val="16"/>
                <w:szCs w:val="20"/>
              </w:rPr>
              <w:br/>
            </w:r>
            <w:r w:rsidRPr="008A6B16">
              <w:rPr>
                <w:i/>
                <w:color w:val="0070C0"/>
                <w:sz w:val="16"/>
                <w:szCs w:val="20"/>
              </w:rPr>
              <w:t xml:space="preserve">CAS is pass/fail; CAS requirements are either met or not met </w:t>
            </w:r>
            <w:r w:rsidRPr="008A6B16">
              <w:rPr>
                <w:i/>
                <w:color w:val="0070C0"/>
                <w:sz w:val="12"/>
                <w:szCs w:val="20"/>
              </w:rPr>
              <w:t>(no numerical or letter score)</w:t>
            </w:r>
          </w:p>
          <w:p w:rsidR="00DA06BB" w:rsidRDefault="00DA06BB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E936C8" w:rsidRDefault="00E936C8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DA06BB" w:rsidRDefault="00DA06BB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993AA4" w:rsidRDefault="00993AA4" w:rsidP="00E936C8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5F3111">
              <w:rPr>
                <w:b/>
                <w:color w:val="0070C0"/>
                <w:sz w:val="18"/>
                <w:szCs w:val="20"/>
              </w:rPr>
              <w:t>Key Reminders:</w:t>
            </w:r>
            <w:r w:rsidRPr="005F3111">
              <w:rPr>
                <w:color w:val="0070C0"/>
                <w:sz w:val="18"/>
                <w:szCs w:val="20"/>
              </w:rPr>
              <w:t xml:space="preserve"> </w:t>
            </w:r>
            <w:r w:rsidRPr="00993AA4">
              <w:rPr>
                <w:sz w:val="18"/>
                <w:szCs w:val="20"/>
              </w:rPr>
              <w:br/>
              <w:t>HL – “</w:t>
            </w:r>
            <w:r>
              <w:rPr>
                <w:sz w:val="18"/>
                <w:szCs w:val="20"/>
              </w:rPr>
              <w:t>Higher Level</w:t>
            </w:r>
            <w:r w:rsidRPr="00993AA4">
              <w:rPr>
                <w:sz w:val="18"/>
                <w:szCs w:val="20"/>
              </w:rPr>
              <w:t>”</w:t>
            </w:r>
            <w:r>
              <w:rPr>
                <w:sz w:val="18"/>
                <w:szCs w:val="20"/>
              </w:rPr>
              <w:br/>
            </w:r>
            <w:r w:rsidRPr="00993AA4">
              <w:rPr>
                <w:sz w:val="18"/>
                <w:szCs w:val="20"/>
              </w:rPr>
              <w:t>SL – “Standard Level”</w:t>
            </w:r>
            <w:r w:rsidR="004A4E39">
              <w:rPr>
                <w:sz w:val="18"/>
                <w:szCs w:val="20"/>
              </w:rPr>
              <w:br/>
            </w:r>
          </w:p>
        </w:tc>
        <w:tc>
          <w:tcPr>
            <w:tcW w:w="7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AA4" w:rsidRPr="004A3112" w:rsidRDefault="00993AA4" w:rsidP="00993AA4">
            <w:pPr>
              <w:pStyle w:val="Default"/>
              <w:rPr>
                <w:b/>
                <w:color w:val="0070C0"/>
                <w:sz w:val="20"/>
                <w:szCs w:val="20"/>
              </w:rPr>
            </w:pPr>
            <w:r w:rsidRPr="004A3112">
              <w:rPr>
                <w:b/>
                <w:color w:val="0070C0"/>
                <w:sz w:val="20"/>
                <w:szCs w:val="20"/>
              </w:rPr>
              <w:t xml:space="preserve">Points &amp; Conditions Necessary to </w:t>
            </w:r>
            <w:r w:rsidR="00DA06BB" w:rsidRPr="004A3112">
              <w:rPr>
                <w:b/>
                <w:color w:val="0070C0"/>
                <w:sz w:val="20"/>
                <w:szCs w:val="20"/>
              </w:rPr>
              <w:t xml:space="preserve">Successfully </w:t>
            </w:r>
            <w:r w:rsidR="0029756D" w:rsidRPr="004A3112">
              <w:rPr>
                <w:b/>
                <w:color w:val="0070C0"/>
                <w:sz w:val="20"/>
                <w:szCs w:val="20"/>
              </w:rPr>
              <w:t>Earn the</w:t>
            </w:r>
            <w:r w:rsidRPr="004A3112">
              <w:rPr>
                <w:b/>
                <w:color w:val="0070C0"/>
                <w:sz w:val="20"/>
                <w:szCs w:val="20"/>
              </w:rPr>
              <w:t xml:space="preserve"> IB Diploma</w:t>
            </w:r>
          </w:p>
          <w:p w:rsidR="00993AA4" w:rsidRDefault="00993AA4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993AA4" w:rsidRPr="008A6B16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color w:val="0070C0"/>
                <w:sz w:val="20"/>
                <w:szCs w:val="20"/>
              </w:rPr>
            </w:pPr>
            <w:r w:rsidRPr="000303DA">
              <w:rPr>
                <w:sz w:val="20"/>
                <w:szCs w:val="20"/>
              </w:rPr>
              <w:t xml:space="preserve">An IB score must have been awarded for each </w:t>
            </w:r>
            <w:r>
              <w:rPr>
                <w:sz w:val="20"/>
                <w:szCs w:val="20"/>
              </w:rPr>
              <w:t xml:space="preserve">of the six </w:t>
            </w:r>
            <w:r w:rsidRPr="000303DA">
              <w:rPr>
                <w:sz w:val="20"/>
                <w:szCs w:val="20"/>
              </w:rPr>
              <w:t xml:space="preserve">IB </w:t>
            </w:r>
            <w:r>
              <w:rPr>
                <w:sz w:val="20"/>
                <w:szCs w:val="20"/>
              </w:rPr>
              <w:t xml:space="preserve">Diploma </w:t>
            </w:r>
            <w:r w:rsidRPr="000303DA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>s</w:t>
            </w:r>
            <w:r w:rsidR="00C046F0">
              <w:rPr>
                <w:sz w:val="20"/>
                <w:szCs w:val="20"/>
              </w:rPr>
              <w:t>, To</w:t>
            </w:r>
            <w:r w:rsidRPr="000303DA">
              <w:rPr>
                <w:sz w:val="20"/>
                <w:szCs w:val="20"/>
              </w:rPr>
              <w:t>K, and the Extended Essay</w:t>
            </w:r>
            <w:r>
              <w:rPr>
                <w:sz w:val="20"/>
                <w:szCs w:val="20"/>
              </w:rPr>
              <w:t>.</w:t>
            </w:r>
            <w:r w:rsidRPr="00030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A6B16">
              <w:rPr>
                <w:color w:val="0070C0"/>
                <w:sz w:val="18"/>
                <w:szCs w:val="20"/>
              </w:rPr>
              <w:t xml:space="preserve">(Student must not have any scores of “N” – meaning “no score awarded” – due to malpractice or failure to </w:t>
            </w:r>
            <w:r w:rsidR="00C046F0" w:rsidRPr="008A6B16">
              <w:rPr>
                <w:color w:val="0070C0"/>
                <w:sz w:val="18"/>
                <w:szCs w:val="20"/>
              </w:rPr>
              <w:t>submit an assessment component.)</w:t>
            </w:r>
          </w:p>
          <w:p w:rsidR="00993AA4" w:rsidRDefault="003A5615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requirements must be met.</w:t>
            </w:r>
          </w:p>
          <w:p w:rsidR="00993AA4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must have a score of D or higher in </w:t>
            </w:r>
            <w:r w:rsidRPr="00495182">
              <w:rPr>
                <w:i/>
                <w:sz w:val="20"/>
                <w:szCs w:val="20"/>
              </w:rPr>
              <w:t>both</w:t>
            </w:r>
            <w:r>
              <w:rPr>
                <w:sz w:val="20"/>
                <w:szCs w:val="20"/>
              </w:rPr>
              <w:t xml:space="preserve"> Theory of Knowledge and the Extended Essay (no E score).</w:t>
            </w:r>
          </w:p>
          <w:p w:rsidR="00993AA4" w:rsidRPr="00811400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Student must earn </w:t>
            </w:r>
            <w:r w:rsidRPr="0012510F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24 total points</w:t>
            </w:r>
            <w:r w:rsidR="009563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046F0">
              <w:rPr>
                <w:sz w:val="20"/>
                <w:szCs w:val="20"/>
              </w:rPr>
              <w:br/>
            </w:r>
            <w:r w:rsidRPr="008A6B16">
              <w:rPr>
                <w:color w:val="0070C0"/>
                <w:sz w:val="18"/>
                <w:szCs w:val="20"/>
              </w:rPr>
              <w:t xml:space="preserve">(45 </w:t>
            </w:r>
            <w:r w:rsidR="00C046F0" w:rsidRPr="008A6B16">
              <w:rPr>
                <w:color w:val="0070C0"/>
                <w:sz w:val="18"/>
                <w:szCs w:val="20"/>
              </w:rPr>
              <w:t xml:space="preserve">total pts. </w:t>
            </w:r>
            <w:r w:rsidRPr="008A6B16">
              <w:rPr>
                <w:color w:val="0070C0"/>
                <w:sz w:val="18"/>
                <w:szCs w:val="20"/>
              </w:rPr>
              <w:t>possible – 42 from IB subjects + 3 from ToK/EE, see matrix below</w:t>
            </w:r>
            <w:r w:rsidR="00C046F0" w:rsidRPr="008A6B16">
              <w:rPr>
                <w:color w:val="0070C0"/>
                <w:sz w:val="18"/>
                <w:szCs w:val="20"/>
              </w:rPr>
              <w:t>)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must earn a total of </w:t>
            </w:r>
            <w:r w:rsidRPr="00593B6C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12 points in HL subjects </w:t>
            </w:r>
            <w:r>
              <w:rPr>
                <w:sz w:val="20"/>
                <w:szCs w:val="20"/>
              </w:rPr>
              <w:br/>
            </w:r>
            <w:r w:rsidRPr="008A6B16">
              <w:rPr>
                <w:color w:val="0070C0"/>
                <w:sz w:val="18"/>
                <w:szCs w:val="20"/>
              </w:rPr>
              <w:t>(for candidates who register for four HL subjects, the three highest HL grades will count toward this total</w:t>
            </w:r>
            <w:r w:rsidRPr="008A6B16">
              <w:rPr>
                <w:color w:val="0070C0"/>
                <w:sz w:val="20"/>
                <w:szCs w:val="20"/>
              </w:rPr>
              <w:t>).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who take 3 HL and 3 SL subjects must earn </w:t>
            </w:r>
            <w:r w:rsidR="00C046F0">
              <w:rPr>
                <w:sz w:val="20"/>
                <w:szCs w:val="20"/>
              </w:rPr>
              <w:br/>
            </w:r>
            <w:r w:rsidRPr="00593B6C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9 points total in the SL classes.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who take 4 HL and 2 SL subjects must earn </w:t>
            </w:r>
            <w:r w:rsidR="00C046F0">
              <w:rPr>
                <w:sz w:val="20"/>
                <w:szCs w:val="20"/>
              </w:rPr>
              <w:br/>
            </w:r>
            <w:r w:rsidRPr="00593B6C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5 points total in the SL classes.</w:t>
            </w:r>
          </w:p>
          <w:p w:rsidR="00993AA4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must earn a 2 or higher in all subjects (no scores of 1).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may be no more than </w:t>
            </w:r>
            <w:r>
              <w:rPr>
                <w:i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scores of 2, overall.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may be no more than </w:t>
            </w:r>
            <w:r w:rsidRPr="00F224CC">
              <w:rPr>
                <w:i/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scores of 3 or lower, overall.</w:t>
            </w:r>
          </w:p>
          <w:p w:rsidR="00B36948" w:rsidRPr="00EB5620" w:rsidRDefault="00B36948" w:rsidP="00B36948">
            <w:pPr>
              <w:pStyle w:val="Default"/>
              <w:rPr>
                <w:i/>
                <w:color w:val="7F7F7F" w:themeColor="text1" w:themeTint="80"/>
                <w:sz w:val="16"/>
                <w:szCs w:val="20"/>
              </w:rPr>
            </w:pPr>
          </w:p>
          <w:p w:rsidR="00B36948" w:rsidRPr="008A6B16" w:rsidRDefault="00B36948" w:rsidP="00B36948">
            <w:pPr>
              <w:pStyle w:val="Default"/>
              <w:rPr>
                <w:i/>
                <w:color w:val="0070C0"/>
                <w:sz w:val="16"/>
                <w:szCs w:val="20"/>
              </w:rPr>
            </w:pPr>
            <w:r w:rsidRPr="008A6B16">
              <w:rPr>
                <w:i/>
                <w:color w:val="0070C0"/>
                <w:sz w:val="16"/>
                <w:szCs w:val="20"/>
              </w:rPr>
              <w:t>The above requirements relate to the official scores the student earns from IB (not the letter grades the student</w:t>
            </w:r>
            <w:r w:rsidR="00111861" w:rsidRPr="008A6B16">
              <w:rPr>
                <w:i/>
                <w:color w:val="0070C0"/>
                <w:sz w:val="16"/>
                <w:szCs w:val="20"/>
              </w:rPr>
              <w:t xml:space="preserve"> earns in the IB classes at BCC</w:t>
            </w:r>
            <w:r w:rsidRPr="008A6B16">
              <w:rPr>
                <w:i/>
                <w:color w:val="0070C0"/>
                <w:sz w:val="16"/>
                <w:szCs w:val="20"/>
              </w:rPr>
              <w:t xml:space="preserve">). These requirements are set by IB, not </w:t>
            </w:r>
            <w:r w:rsidR="00111861" w:rsidRPr="008A6B16">
              <w:rPr>
                <w:i/>
                <w:color w:val="0070C0"/>
                <w:sz w:val="16"/>
                <w:szCs w:val="20"/>
              </w:rPr>
              <w:t>BCC or City Schools</w:t>
            </w:r>
            <w:r w:rsidRPr="008A6B16">
              <w:rPr>
                <w:i/>
                <w:color w:val="0070C0"/>
                <w:sz w:val="16"/>
                <w:szCs w:val="20"/>
              </w:rPr>
              <w:t>. IB Scores and IB Diploma results are available to students in early July after their senior year.</w:t>
            </w:r>
          </w:p>
          <w:p w:rsidR="00993AA4" w:rsidRDefault="00993AA4" w:rsidP="00F224CC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993AA4" w:rsidRDefault="00297301" w:rsidP="00F224CC">
      <w:pPr>
        <w:pStyle w:val="Defaul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136524</wp:posOffset>
                </wp:positionV>
                <wp:extent cx="6758305" cy="0"/>
                <wp:effectExtent l="0" t="0" r="444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2DF6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75pt" to="53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DA06BB" w:rsidRDefault="00DA06BB" w:rsidP="00F224CC">
      <w:pPr>
        <w:pStyle w:val="Default"/>
        <w:rPr>
          <w:b/>
          <w:sz w:val="20"/>
          <w:szCs w:val="20"/>
        </w:rPr>
      </w:pPr>
    </w:p>
    <w:p w:rsidR="000303DA" w:rsidRPr="004A3112" w:rsidRDefault="00F224CC" w:rsidP="00993AA4">
      <w:pPr>
        <w:pStyle w:val="Default"/>
        <w:spacing w:after="120"/>
        <w:rPr>
          <w:b/>
          <w:color w:val="0070C0"/>
          <w:sz w:val="20"/>
          <w:szCs w:val="20"/>
        </w:rPr>
      </w:pPr>
      <w:r w:rsidRPr="004A3112">
        <w:rPr>
          <w:b/>
          <w:color w:val="0070C0"/>
          <w:sz w:val="20"/>
          <w:szCs w:val="20"/>
        </w:rPr>
        <w:t>ToK/Extended Essay Point Matrix</w:t>
      </w:r>
    </w:p>
    <w:p w:rsidR="007D50C8" w:rsidRDefault="00F224CC" w:rsidP="00F224CC">
      <w:pPr>
        <w:jc w:val="center"/>
      </w:pPr>
      <w:r>
        <w:rPr>
          <w:noProof/>
        </w:rPr>
        <w:lastRenderedPageBreak/>
        <w:drawing>
          <wp:inline distT="0" distB="0" distL="0" distR="0">
            <wp:extent cx="3419061" cy="25626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371" t="19769" r="30769" b="22408"/>
                    <a:stretch/>
                  </pic:blipFill>
                  <pic:spPr bwMode="auto">
                    <a:xfrm>
                      <a:off x="0" y="0"/>
                      <a:ext cx="3421440" cy="2564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F224CC" w:rsidRDefault="00F224CC" w:rsidP="00811400"/>
    <w:p w:rsidR="00811400" w:rsidRPr="005F3111" w:rsidRDefault="00811400" w:rsidP="00811400">
      <w:pPr>
        <w:ind w:left="720"/>
        <w:rPr>
          <w:color w:val="0070C0"/>
          <w:sz w:val="18"/>
          <w:u w:val="single"/>
        </w:rPr>
      </w:pPr>
      <w:r w:rsidRPr="005F3111">
        <w:rPr>
          <w:color w:val="0070C0"/>
          <w:sz w:val="18"/>
          <w:u w:val="single"/>
        </w:rPr>
        <w:t>Changes from the previous matrix</w:t>
      </w:r>
    </w:p>
    <w:p w:rsidR="00811400" w:rsidRPr="005F3111" w:rsidRDefault="00811400" w:rsidP="00811400">
      <w:pPr>
        <w:ind w:left="720"/>
        <w:rPr>
          <w:color w:val="0070C0"/>
          <w:sz w:val="18"/>
        </w:rPr>
      </w:pPr>
      <w:r w:rsidRPr="005F3111">
        <w:rPr>
          <w:color w:val="0070C0"/>
          <w:sz w:val="18"/>
        </w:rPr>
        <w:t>B + C combination now results in 2 points</w:t>
      </w:r>
      <w:r w:rsidR="003224E7" w:rsidRPr="005F3111">
        <w:rPr>
          <w:color w:val="0070C0"/>
          <w:sz w:val="18"/>
        </w:rPr>
        <w:t xml:space="preserve"> being earned</w:t>
      </w:r>
      <w:r w:rsidRPr="005F3111">
        <w:rPr>
          <w:color w:val="0070C0"/>
          <w:sz w:val="18"/>
        </w:rPr>
        <w:t xml:space="preserve"> (previously 1 point)</w:t>
      </w:r>
    </w:p>
    <w:p w:rsidR="00F224CC" w:rsidRPr="005F3111" w:rsidRDefault="00811400" w:rsidP="00811400">
      <w:pPr>
        <w:ind w:left="720"/>
        <w:rPr>
          <w:color w:val="0070C0"/>
          <w:sz w:val="20"/>
        </w:rPr>
      </w:pPr>
      <w:r w:rsidRPr="005F3111">
        <w:rPr>
          <w:color w:val="0070C0"/>
          <w:sz w:val="18"/>
        </w:rPr>
        <w:t xml:space="preserve">A + E combination now results in zero points and </w:t>
      </w:r>
      <w:r w:rsidR="003224E7" w:rsidRPr="005F3111">
        <w:rPr>
          <w:color w:val="0070C0"/>
          <w:sz w:val="18"/>
        </w:rPr>
        <w:t>represents a failing condition</w:t>
      </w:r>
    </w:p>
    <w:p w:rsidR="00811400" w:rsidRDefault="00111861" w:rsidP="00811400">
      <w:pPr>
        <w:jc w:val="right"/>
        <w:rPr>
          <w:color w:val="0070C0"/>
          <w:sz w:val="18"/>
        </w:rPr>
      </w:pPr>
      <w:r w:rsidRPr="005F3111">
        <w:rPr>
          <w:b/>
          <w:color w:val="0070C0"/>
          <w:sz w:val="18"/>
        </w:rPr>
        <w:t>BCC</w:t>
      </w:r>
      <w:r w:rsidR="00811400" w:rsidRPr="005F3111">
        <w:rPr>
          <w:color w:val="0070C0"/>
          <w:sz w:val="18"/>
        </w:rPr>
        <w:t xml:space="preserve"> -</w:t>
      </w:r>
      <w:r w:rsidR="00811400" w:rsidRPr="005F3111">
        <w:rPr>
          <w:b/>
          <w:color w:val="0070C0"/>
          <w:sz w:val="18"/>
        </w:rPr>
        <w:t xml:space="preserve"> </w:t>
      </w:r>
      <w:r w:rsidRPr="005F3111">
        <w:rPr>
          <w:color w:val="0070C0"/>
          <w:sz w:val="18"/>
        </w:rPr>
        <w:t>October</w:t>
      </w:r>
      <w:r w:rsidR="00811400" w:rsidRPr="005F3111">
        <w:rPr>
          <w:color w:val="0070C0"/>
          <w:sz w:val="18"/>
        </w:rPr>
        <w:t xml:space="preserve">, </w:t>
      </w:r>
      <w:r w:rsidR="00A71A0A" w:rsidRPr="005F3111">
        <w:rPr>
          <w:color w:val="0070C0"/>
          <w:sz w:val="18"/>
        </w:rPr>
        <w:t>2015</w:t>
      </w:r>
    </w:p>
    <w:p w:rsidR="00087D4F" w:rsidRPr="00087D4F" w:rsidRDefault="00087D4F" w:rsidP="00087D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SV"/>
        </w:rPr>
      </w:pPr>
      <w:r w:rsidRPr="003E3861">
        <w:rPr>
          <w:rFonts w:ascii="Arial" w:eastAsia="Times New Roman" w:hAnsi="Arial" w:cs="Arial"/>
          <w:b/>
          <w:bCs/>
          <w:color w:val="000000"/>
          <w:sz w:val="28"/>
          <w:szCs w:val="28"/>
          <w:lang w:val="es-SV"/>
        </w:rPr>
        <w:t>Resumen de los requisitos de obtención del Diploma IB</w:t>
      </w:r>
    </w:p>
    <w:p w:rsidR="00087D4F" w:rsidRPr="00087D4F" w:rsidRDefault="00087D4F" w:rsidP="00087D4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SV"/>
        </w:rPr>
      </w:pPr>
      <w:r w:rsidRPr="00087D4F">
        <w:rPr>
          <w:rFonts w:ascii="Arial" w:eastAsia="Times New Roman" w:hAnsi="Arial" w:cs="Arial"/>
          <w:b/>
          <w:bCs/>
          <w:color w:val="000000"/>
          <w:sz w:val="20"/>
          <w:szCs w:val="20"/>
          <w:lang w:val="es-S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7239"/>
      </w:tblGrid>
      <w:tr w:rsidR="00087D4F" w:rsidRPr="003E3861" w:rsidTr="00087D4F">
        <w:tc>
          <w:tcPr>
            <w:tcW w:w="352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Programa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del Diploma IB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Componentes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y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Posibles Puntajes IB</w:t>
            </w:r>
          </w:p>
          <w:p w:rsidR="00087D4F" w:rsidRPr="00087D4F" w:rsidRDefault="00087D4F" w:rsidP="00087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 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Inglés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IB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                                   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1-7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IB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L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e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ngua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je Mundial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            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 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1-7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Historia del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IB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           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           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1-7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Ciencia del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IB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            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           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1-7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Matemáticas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IB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      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         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     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1-7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Art </w:t>
            </w:r>
            <w:r w:rsidR="00E70428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IB 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u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otro IB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optativo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          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1-7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</w:t>
            </w:r>
          </w:p>
          <w:p w:rsidR="00087D4F" w:rsidRPr="00087D4F" w:rsidRDefault="00087D4F" w:rsidP="00087D4F">
            <w:pPr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Al menos 3 pero no más de 4 </w:t>
            </w:r>
            <w:r w:rsidR="00E70428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materias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.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debe </w:t>
            </w:r>
            <w:r w:rsidR="00E70428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ser 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completa</w:t>
            </w:r>
            <w:r w:rsidR="00E70428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do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 en el nivel superior (HL).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Solo 6 </w:t>
            </w:r>
            <w:r w:rsidR="00E70428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materias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 IB, uno en cada uno de ellos, </w:t>
            </w:r>
            <w:r w:rsidR="00E70428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podría 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contribuir</w:t>
            </w:r>
            <w:r w:rsidR="00E70428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 al puntaje total del Diploma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 IB.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</w:t>
            </w:r>
          </w:p>
          <w:p w:rsidR="0034279E" w:rsidRPr="003E3861" w:rsidRDefault="0034279E" w:rsidP="0034279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Teoría del Conocimiento (</w:t>
            </w:r>
            <w:r w:rsidR="00014C2D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ToK)   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AE</w:t>
            </w:r>
          </w:p>
          <w:p w:rsidR="00087D4F" w:rsidRPr="00087D4F" w:rsidRDefault="0034279E" w:rsidP="00342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Ensayo extendido (</w:t>
            </w:r>
            <w:r w:rsidR="00014C2D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EE)  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          </w:t>
            </w:r>
            <w:r w:rsidR="00014C2D"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 xml:space="preserve">   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AE</w:t>
            </w:r>
            <w:r w:rsidR="00087D4F"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</w:t>
            </w:r>
          </w:p>
          <w:p w:rsidR="00014C2D" w:rsidRPr="003E3861" w:rsidRDefault="00014C2D" w:rsidP="00087D4F">
            <w:pPr>
              <w:spacing w:line="240" w:lineRule="auto"/>
              <w:ind w:left="90"/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</w:pPr>
          </w:p>
          <w:p w:rsidR="00087D4F" w:rsidRPr="00087D4F" w:rsidRDefault="00087D4F" w:rsidP="00087D4F">
            <w:pPr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Vea la matriz a continuación par</w:t>
            </w:r>
            <w:r w:rsidR="00014C2D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a ver cómo las notas de 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ToK</w:t>
            </w:r>
            <w:r w:rsidR="00014C2D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 y EE 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contribuyen </w:t>
            </w:r>
            <w:r w:rsidR="00014C2D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con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 3 </w:t>
            </w:r>
            <w:r w:rsidR="00014C2D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puntos 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adicionales hacia el puntaje total del Diploma IB.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 </w:t>
            </w:r>
          </w:p>
          <w:p w:rsidR="00E26CFC" w:rsidRPr="003E3861" w:rsidRDefault="00E26CFC" w:rsidP="00087D4F">
            <w:pPr>
              <w:spacing w:line="240" w:lineRule="auto"/>
              <w:ind w:left="90"/>
              <w:rPr>
                <w:rFonts w:ascii="Arial" w:eastAsia="Times New Roman" w:hAnsi="Arial" w:cs="Arial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Creatividad- Acción- Servicio (CAS)</w:t>
            </w:r>
          </w:p>
          <w:p w:rsidR="00087D4F" w:rsidRPr="00087D4F" w:rsidRDefault="00087D4F" w:rsidP="00087D4F">
            <w:pPr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CAS es pasar / </w:t>
            </w:r>
            <w:r w:rsidR="00E26CFC"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reprobar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;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 xml:space="preserve">Los requisitos de 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lastRenderedPageBreak/>
              <w:t>CAS se cumplen o no se cumplen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2"/>
                <w:szCs w:val="12"/>
                <w:lang w:val="es-SV"/>
              </w:rPr>
              <w:t>(sin puntaje numérico o de letras)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  <w:t> 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  <w:t> 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  <w:t> </w:t>
            </w:r>
          </w:p>
          <w:p w:rsidR="00087D4F" w:rsidRPr="00087D4F" w:rsidRDefault="00087D4F" w:rsidP="00087D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es-SV"/>
              </w:rPr>
              <w:t>Recordatorios clave: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HL - "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Nivel Superior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"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sz w:val="18"/>
                <w:szCs w:val="18"/>
                <w:lang w:val="es-SV"/>
              </w:rPr>
              <w:t>SL - "Nivel Estándar"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br/>
            </w:r>
            <w:r w:rsidRPr="00087D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  <w:t> </w:t>
            </w:r>
          </w:p>
        </w:tc>
        <w:tc>
          <w:tcPr>
            <w:tcW w:w="74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lastRenderedPageBreak/>
              <w:t>Puntos y condiciones necesarios para obtener con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éxito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el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s-SV"/>
              </w:rPr>
              <w:t>Diploma IB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  <w:t> </w:t>
            </w:r>
          </w:p>
          <w:p w:rsidR="00087D4F" w:rsidRPr="00087D4F" w:rsidRDefault="00087D4F" w:rsidP="00087D4F">
            <w:pPr>
              <w:numPr>
                <w:ilvl w:val="0"/>
                <w:numId w:val="4"/>
              </w:numPr>
              <w:spacing w:after="120" w:line="240" w:lineRule="auto"/>
              <w:ind w:left="516" w:firstLine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 xml:space="preserve">Una puntuación IB deberá haber sido </w:t>
            </w:r>
            <w:r w:rsidR="000545F3"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 xml:space="preserve">ganada </w:t>
            </w:r>
            <w:r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para cada un</w:t>
            </w:r>
            <w:r w:rsidR="000545F3"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a</w:t>
            </w:r>
            <w:r w:rsidRPr="003E38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SV"/>
              </w:rPr>
              <w:t> </w:t>
            </w:r>
            <w:r w:rsidR="000545F3"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de la</w:t>
            </w:r>
            <w:r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s seis</w:t>
            </w:r>
            <w:r w:rsidR="000545F3"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 xml:space="preserve"> materias</w:t>
            </w:r>
            <w:r w:rsidRPr="003E38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SV"/>
              </w:rPr>
              <w:t> </w:t>
            </w:r>
            <w:r w:rsidR="000545F3"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 xml:space="preserve">del </w:t>
            </w:r>
            <w:r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Diploma</w:t>
            </w:r>
            <w:r w:rsidRPr="003E38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IB, </w:t>
            </w:r>
            <w:r w:rsidR="000545F3"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TO</w:t>
            </w:r>
            <w:r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 xml:space="preserve">K, y </w:t>
            </w:r>
            <w:r w:rsidR="000545F3"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el Ensayo Extendido</w:t>
            </w:r>
            <w:r w:rsidRPr="003E3861">
              <w:rPr>
                <w:rFonts w:ascii="Arial" w:eastAsia="Times New Roman" w:hAnsi="Arial" w:cs="Arial"/>
                <w:color w:val="000000"/>
                <w:sz w:val="20"/>
                <w:szCs w:val="20"/>
                <w:lang w:val="es-SV"/>
              </w:rPr>
              <w:t>.</w:t>
            </w:r>
            <w:r w:rsidRPr="00087D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SV"/>
              </w:rPr>
              <w:t> </w:t>
            </w:r>
            <w:r w:rsidRPr="00087D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>(El estudiante no debe tener ninguna puntuación de "N", es decir, "no se ha otorgado una puntuación", debido a una mala práctica o por no</w:t>
            </w:r>
            <w:r w:rsidRPr="003E38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>presentar un componente de evaluación).</w:t>
            </w:r>
          </w:p>
          <w:p w:rsidR="00087D4F" w:rsidRPr="00087D4F" w:rsidRDefault="00087D4F" w:rsidP="00087D4F">
            <w:pPr>
              <w:numPr>
                <w:ilvl w:val="0"/>
                <w:numId w:val="4"/>
              </w:numPr>
              <w:spacing w:after="120" w:line="240" w:lineRule="auto"/>
              <w:ind w:left="516" w:firstLine="0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Los requisitos de CAS deben cumplirse.</w:t>
            </w:r>
          </w:p>
          <w:p w:rsidR="00087D4F" w:rsidRPr="00087D4F" w:rsidRDefault="00087D4F" w:rsidP="00087D4F">
            <w:pPr>
              <w:numPr>
                <w:ilvl w:val="0"/>
                <w:numId w:val="4"/>
              </w:numPr>
              <w:spacing w:after="120" w:line="240" w:lineRule="auto"/>
              <w:ind w:left="516" w:firstLine="0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El estudiante debe tener una calificación de D o m</w:t>
            </w:r>
            <w:r w:rsidR="000545F3"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 xml:space="preserve">ayor en ambas 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 xml:space="preserve">Teoría del conocimiento </w:t>
            </w:r>
            <w:r w:rsidR="000545F3"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 xml:space="preserve">y en el 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 xml:space="preserve">Ensayo </w:t>
            </w:r>
            <w:r w:rsidR="000545F3"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E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xtendido (sin calificación de E).</w:t>
            </w:r>
          </w:p>
          <w:p w:rsidR="00087D4F" w:rsidRPr="00087D4F" w:rsidRDefault="00087D4F" w:rsidP="00087D4F">
            <w:pPr>
              <w:numPr>
                <w:ilvl w:val="0"/>
                <w:numId w:val="4"/>
              </w:numPr>
              <w:spacing w:after="120" w:line="240" w:lineRule="auto"/>
              <w:ind w:left="510" w:firstLine="0"/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El estudiante debe ganar</w:t>
            </w:r>
            <w:r w:rsidRPr="003E3861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/>
              </w:rPr>
              <w:t>al menos</w:t>
            </w:r>
            <w:r w:rsidRPr="003E3861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24 puntos en total</w:t>
            </w:r>
            <w:r w:rsidRPr="003E3861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.</w:t>
            </w:r>
            <w:r w:rsidRPr="00087D4F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t> </w:t>
            </w:r>
            <w:r w:rsidRPr="00087D4F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>(45</w:t>
            </w:r>
            <w:r w:rsidRPr="003E3861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>pts totales</w:t>
            </w:r>
            <w:r w:rsidRPr="003E3861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 xml:space="preserve">posibles: 42 de </w:t>
            </w:r>
            <w:r w:rsidR="000545F3"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 xml:space="preserve">materias </w:t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>IB + 3 de ToK / EE, vea la matriz a continuación</w:t>
            </w:r>
            <w:r w:rsidRPr="003E3861">
              <w:rPr>
                <w:rFonts w:ascii="Times New Roman" w:eastAsia="Times New Roman" w:hAnsi="Times New Roman" w:cs="Times New Roman"/>
                <w:sz w:val="18"/>
                <w:szCs w:val="18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>)</w:t>
            </w:r>
          </w:p>
          <w:p w:rsidR="00087D4F" w:rsidRPr="00087D4F" w:rsidRDefault="00087D4F" w:rsidP="000545F3">
            <w:pPr>
              <w:numPr>
                <w:ilvl w:val="1"/>
                <w:numId w:val="4"/>
              </w:numPr>
              <w:tabs>
                <w:tab w:val="clear" w:pos="1440"/>
              </w:tabs>
              <w:spacing w:after="120" w:line="240" w:lineRule="auto"/>
              <w:ind w:left="1281" w:hanging="395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El estudiante debe obtener un total de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/>
              </w:rPr>
              <w:t>al menos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12 puntos en las asignaturas de HL.</w:t>
            </w:r>
            <w:r w:rsidRPr="00087D4F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087D4F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br/>
            </w:r>
            <w:r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 xml:space="preserve">(para los candidatos que se inscriban en cuatro asignaturas de HL, las tres calificaciones más altas de HL contarán para este </w:t>
            </w:r>
            <w:r w:rsidR="009D622F" w:rsidRPr="003E3861">
              <w:rPr>
                <w:rFonts w:ascii="Arial" w:eastAsia="Times New Roman" w:hAnsi="Arial" w:cs="Arial"/>
                <w:color w:val="0070C0"/>
                <w:sz w:val="18"/>
                <w:szCs w:val="18"/>
                <w:lang w:val="es-SV"/>
              </w:rPr>
              <w:t>total</w:t>
            </w:r>
            <w:r w:rsidR="009D622F"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)</w:t>
            </w:r>
            <w:r w:rsidRPr="003E3861">
              <w:rPr>
                <w:rFonts w:ascii="Arial" w:eastAsia="Times New Roman" w:hAnsi="Arial" w:cs="Arial"/>
                <w:color w:val="0070C0"/>
                <w:sz w:val="20"/>
                <w:szCs w:val="20"/>
                <w:lang w:val="es-SV"/>
              </w:rPr>
              <w:t>.</w:t>
            </w:r>
          </w:p>
          <w:p w:rsidR="00087D4F" w:rsidRPr="00087D4F" w:rsidRDefault="00087D4F" w:rsidP="000545F3">
            <w:pPr>
              <w:numPr>
                <w:ilvl w:val="1"/>
                <w:numId w:val="4"/>
              </w:numPr>
              <w:spacing w:after="120" w:line="240" w:lineRule="auto"/>
              <w:ind w:left="1281" w:hanging="395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Los estudiantes que tomen 3 HL y 3 asignaturas SL deben ganar</w:t>
            </w:r>
            <w:r w:rsidRPr="00087D4F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/>
              </w:rPr>
              <w:t>Al menos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9 puntos en total en las clases de SL.</w:t>
            </w:r>
          </w:p>
          <w:p w:rsidR="00087D4F" w:rsidRPr="00087D4F" w:rsidRDefault="00087D4F" w:rsidP="000545F3">
            <w:pPr>
              <w:numPr>
                <w:ilvl w:val="1"/>
                <w:numId w:val="4"/>
              </w:numPr>
              <w:spacing w:after="120" w:line="240" w:lineRule="auto"/>
              <w:ind w:left="1281" w:hanging="395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Los estudiantes que tomen 4 HL y 2 asignaturas de SL deben obtener</w:t>
            </w:r>
            <w:r w:rsidRPr="00087D4F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/>
              </w:rPr>
              <w:t>Al menos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5 puntos en total en las clases de SL.</w:t>
            </w:r>
          </w:p>
          <w:p w:rsidR="00087D4F" w:rsidRPr="00087D4F" w:rsidRDefault="00087D4F" w:rsidP="000545F3">
            <w:pPr>
              <w:numPr>
                <w:ilvl w:val="0"/>
                <w:numId w:val="4"/>
              </w:numPr>
              <w:spacing w:after="120" w:line="240" w:lineRule="auto"/>
              <w:ind w:left="516" w:hanging="395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 xml:space="preserve">El estudiante debe obtener un 2 o </w:t>
            </w:r>
            <w:r w:rsidR="009D622F"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superior e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n todas las materias (sin puntajes de 1).</w:t>
            </w:r>
          </w:p>
          <w:p w:rsidR="00087D4F" w:rsidRPr="00087D4F" w:rsidRDefault="00087D4F" w:rsidP="000545F3">
            <w:pPr>
              <w:numPr>
                <w:ilvl w:val="1"/>
                <w:numId w:val="4"/>
              </w:numPr>
              <w:spacing w:after="120" w:line="240" w:lineRule="auto"/>
              <w:ind w:left="1281" w:hanging="395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No puede haber más de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/>
              </w:rPr>
              <w:t>dos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puntajes de 2, en general.</w:t>
            </w:r>
          </w:p>
          <w:p w:rsidR="00087D4F" w:rsidRPr="00087D4F" w:rsidRDefault="00087D4F" w:rsidP="000545F3">
            <w:pPr>
              <w:numPr>
                <w:ilvl w:val="1"/>
                <w:numId w:val="4"/>
              </w:numPr>
              <w:spacing w:after="120" w:line="240" w:lineRule="auto"/>
              <w:ind w:left="1281" w:hanging="395"/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</w:pP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lastRenderedPageBreak/>
              <w:t>No puede haber más de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/>
              </w:rPr>
              <w:t>tres</w:t>
            </w:r>
            <w:r w:rsidRPr="003E3861">
              <w:rPr>
                <w:rFonts w:ascii="Times New Roman" w:eastAsia="Times New Roman" w:hAnsi="Times New Roman" w:cs="Times New Roman"/>
                <w:sz w:val="20"/>
                <w:szCs w:val="20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sz w:val="20"/>
                <w:szCs w:val="20"/>
                <w:lang w:val="es-SV"/>
              </w:rPr>
              <w:t>puntuaciones de 3 o menos, en general.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val="es-SV"/>
              </w:rPr>
              <w:t> 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Los requisitos anteriores se relacionan con los puntajes oficiales que el estudiante obtiene de IB (no las calificaciones de letras que el estudiante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obtiene en las clases de IB en BCC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).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Estos requisitos son establecidos por IB, no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BCC o City Schools</w:t>
            </w:r>
            <w:r w:rsidRPr="003E3861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.</w:t>
            </w:r>
            <w:r w:rsidRPr="00087D4F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 </w:t>
            </w:r>
            <w:r w:rsidRPr="003E3861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val="es-SV"/>
              </w:rPr>
              <w:t>Los puntajes del IB y los resultados del Diploma del IB están disponibles para los estudiantes a principios de julio después de su último año.</w:t>
            </w:r>
          </w:p>
          <w:p w:rsidR="00087D4F" w:rsidRPr="00087D4F" w:rsidRDefault="00087D4F" w:rsidP="00087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087D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  <w:t> </w:t>
            </w:r>
          </w:p>
        </w:tc>
      </w:tr>
    </w:tbl>
    <w:p w:rsidR="00087D4F" w:rsidRPr="00087D4F" w:rsidRDefault="009D622F" w:rsidP="00087D4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SV"/>
        </w:rPr>
      </w:pPr>
      <w:r w:rsidRPr="003E3861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46989</wp:posOffset>
                </wp:positionH>
                <wp:positionV relativeFrom="paragraph">
                  <wp:posOffset>43815</wp:posOffset>
                </wp:positionV>
                <wp:extent cx="6677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6B77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45pt" to="529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" strokecolor="#4579b8 [3044]"/>
            </w:pict>
          </mc:Fallback>
        </mc:AlternateContent>
      </w:r>
      <w:r w:rsidR="00087D4F" w:rsidRPr="00087D4F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  <w:r w:rsidR="00087D4F" w:rsidRPr="00087D4F">
        <w:rPr>
          <w:rFonts w:ascii="Arial" w:eastAsia="Times New Roman" w:hAnsi="Arial" w:cs="Arial"/>
          <w:b/>
          <w:bCs/>
          <w:color w:val="000000"/>
          <w:sz w:val="20"/>
          <w:szCs w:val="20"/>
          <w:lang w:val="es-SV"/>
        </w:rPr>
        <w:t> </w:t>
      </w:r>
    </w:p>
    <w:p w:rsidR="00087D4F" w:rsidRPr="003E3861" w:rsidRDefault="009D622F" w:rsidP="00087D4F">
      <w:pPr>
        <w:spacing w:after="120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s-SV"/>
        </w:rPr>
      </w:pPr>
      <w:r w:rsidRPr="003E3861">
        <w:rPr>
          <w:rFonts w:ascii="Arial" w:eastAsia="Times New Roman" w:hAnsi="Arial" w:cs="Arial"/>
          <w:b/>
          <w:bCs/>
          <w:color w:val="0070C0"/>
          <w:sz w:val="20"/>
          <w:szCs w:val="20"/>
          <w:lang w:val="es-SV"/>
        </w:rPr>
        <w:t>ToK / Matriz de P</w:t>
      </w:r>
      <w:r w:rsidR="00087D4F" w:rsidRPr="003E3861">
        <w:rPr>
          <w:rFonts w:ascii="Arial" w:eastAsia="Times New Roman" w:hAnsi="Arial" w:cs="Arial"/>
          <w:b/>
          <w:bCs/>
          <w:color w:val="0070C0"/>
          <w:sz w:val="20"/>
          <w:szCs w:val="20"/>
          <w:lang w:val="es-SV"/>
        </w:rPr>
        <w:t>unt</w:t>
      </w:r>
      <w:r w:rsidRPr="003E3861">
        <w:rPr>
          <w:rFonts w:ascii="Arial" w:eastAsia="Times New Roman" w:hAnsi="Arial" w:cs="Arial"/>
          <w:b/>
          <w:bCs/>
          <w:color w:val="0070C0"/>
          <w:sz w:val="20"/>
          <w:szCs w:val="20"/>
          <w:lang w:val="es-SV"/>
        </w:rPr>
        <w:t>aje de Ensayo E</w:t>
      </w:r>
      <w:r w:rsidR="00087D4F" w:rsidRPr="003E3861">
        <w:rPr>
          <w:rFonts w:ascii="Arial" w:eastAsia="Times New Roman" w:hAnsi="Arial" w:cs="Arial"/>
          <w:b/>
          <w:bCs/>
          <w:color w:val="0070C0"/>
          <w:sz w:val="20"/>
          <w:szCs w:val="20"/>
          <w:lang w:val="es-SV"/>
        </w:rPr>
        <w:t>xtendida</w:t>
      </w:r>
    </w:p>
    <w:p w:rsidR="00402A10" w:rsidRPr="003E3861" w:rsidRDefault="003E3861" w:rsidP="003E386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val="es-SV"/>
        </w:rPr>
      </w:pPr>
      <w:r w:rsidRPr="003E3861">
        <w:rPr>
          <w:noProof/>
        </w:rPr>
        <w:drawing>
          <wp:inline distT="0" distB="0" distL="0" distR="0" wp14:anchorId="3BC49EF6" wp14:editId="0113254D">
            <wp:extent cx="2924175" cy="21917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371" t="19769" r="30769" b="22408"/>
                    <a:stretch/>
                  </pic:blipFill>
                  <pic:spPr bwMode="auto">
                    <a:xfrm>
                      <a:off x="0" y="0"/>
                      <a:ext cx="2939440" cy="220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087D4F" w:rsidRPr="00087D4F" w:rsidRDefault="00087D4F" w:rsidP="00087D4F">
      <w:pPr>
        <w:spacing w:line="207" w:lineRule="atLeast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</w:pPr>
      <w:r w:rsidRPr="003E3861">
        <w:rPr>
          <w:rFonts w:ascii="Calibri" w:eastAsia="Times New Roman" w:hAnsi="Calibri" w:cs="Calibri"/>
          <w:color w:val="0070C0"/>
          <w:sz w:val="18"/>
          <w:szCs w:val="18"/>
          <w:u w:val="single"/>
          <w:lang w:val="es-SV"/>
        </w:rPr>
        <w:t>Cambios de la matriz anterior.</w:t>
      </w:r>
    </w:p>
    <w:p w:rsidR="00087D4F" w:rsidRPr="00087D4F" w:rsidRDefault="00087D4F" w:rsidP="00087D4F">
      <w:pPr>
        <w:spacing w:line="207" w:lineRule="atLeast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</w:pP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La combinación B + C ahora da como resultado 2 puntos</w:t>
      </w:r>
      <w:r w:rsidRPr="003E3861"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  <w:t> 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ganados</w:t>
      </w:r>
      <w:r w:rsidRPr="003E3861"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  <w:t> 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(anteriormente 1 punto)</w:t>
      </w:r>
    </w:p>
    <w:p w:rsidR="00087D4F" w:rsidRPr="00087D4F" w:rsidRDefault="00087D4F" w:rsidP="00087D4F">
      <w:pPr>
        <w:spacing w:line="207" w:lineRule="atLeast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</w:pP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 xml:space="preserve">La combinación A + E ahora </w:t>
      </w:r>
      <w:r w:rsid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 xml:space="preserve">da como resultado 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cero puntos y</w:t>
      </w:r>
      <w:r w:rsidRPr="003E3861"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  <w:t> 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representa una condición de falla</w:t>
      </w:r>
    </w:p>
    <w:p w:rsidR="00087D4F" w:rsidRPr="00087D4F" w:rsidRDefault="00087D4F" w:rsidP="00087D4F">
      <w:pPr>
        <w:spacing w:line="207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</w:pPr>
      <w:r w:rsidRPr="003E3861">
        <w:rPr>
          <w:rFonts w:ascii="Calibri" w:eastAsia="Times New Roman" w:hAnsi="Calibri" w:cs="Calibri"/>
          <w:b/>
          <w:bCs/>
          <w:color w:val="0070C0"/>
          <w:sz w:val="18"/>
          <w:szCs w:val="18"/>
          <w:lang w:val="es-SV"/>
        </w:rPr>
        <w:t>BCC</w:t>
      </w:r>
      <w:r w:rsidRPr="003E3861"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  <w:t> 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-</w:t>
      </w:r>
      <w:r w:rsidRPr="00087D4F"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  <w:t> 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De octubre</w:t>
      </w:r>
      <w:r w:rsidRPr="003E3861"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  <w:t> 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de</w:t>
      </w:r>
      <w:r w:rsidRPr="003E3861">
        <w:rPr>
          <w:rFonts w:ascii="Times New Roman" w:eastAsia="Times New Roman" w:hAnsi="Times New Roman" w:cs="Times New Roman"/>
          <w:color w:val="000000"/>
          <w:sz w:val="18"/>
          <w:szCs w:val="18"/>
          <w:lang w:val="es-SV"/>
        </w:rPr>
        <w:t> </w:t>
      </w:r>
      <w:r w:rsidRPr="003E3861">
        <w:rPr>
          <w:rFonts w:ascii="Calibri" w:eastAsia="Times New Roman" w:hAnsi="Calibri" w:cs="Calibri"/>
          <w:color w:val="0070C0"/>
          <w:sz w:val="18"/>
          <w:szCs w:val="18"/>
          <w:lang w:val="es-SV"/>
        </w:rPr>
        <w:t>2015</w:t>
      </w:r>
    </w:p>
    <w:p w:rsidR="00087D4F" w:rsidRPr="003E3861" w:rsidRDefault="00087D4F" w:rsidP="00087D4F">
      <w:pPr>
        <w:rPr>
          <w:color w:val="0070C0"/>
          <w:sz w:val="18"/>
          <w:lang w:val="es-SV"/>
        </w:rPr>
      </w:pPr>
    </w:p>
    <w:sectPr w:rsidR="00087D4F" w:rsidRPr="003E3861" w:rsidSect="00D27261">
      <w:pgSz w:w="12240" w:h="15840" w:code="1"/>
      <w:pgMar w:top="630" w:right="794" w:bottom="630" w:left="7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5D" w:rsidRDefault="003F6E5D" w:rsidP="005F3111">
      <w:pPr>
        <w:spacing w:line="240" w:lineRule="auto"/>
      </w:pPr>
      <w:r>
        <w:separator/>
      </w:r>
    </w:p>
  </w:endnote>
  <w:endnote w:type="continuationSeparator" w:id="0">
    <w:p w:rsidR="003F6E5D" w:rsidRDefault="003F6E5D" w:rsidP="005F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5D" w:rsidRDefault="003F6E5D" w:rsidP="005F3111">
      <w:pPr>
        <w:spacing w:line="240" w:lineRule="auto"/>
      </w:pPr>
      <w:r>
        <w:separator/>
      </w:r>
    </w:p>
  </w:footnote>
  <w:footnote w:type="continuationSeparator" w:id="0">
    <w:p w:rsidR="003F6E5D" w:rsidRDefault="003F6E5D" w:rsidP="005F3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6DB"/>
    <w:multiLevelType w:val="hybridMultilevel"/>
    <w:tmpl w:val="C44E63EA"/>
    <w:lvl w:ilvl="0" w:tplc="3D3C8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7C5"/>
    <w:multiLevelType w:val="hybridMultilevel"/>
    <w:tmpl w:val="403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3DAE"/>
    <w:multiLevelType w:val="hybridMultilevel"/>
    <w:tmpl w:val="8F727590"/>
    <w:lvl w:ilvl="0" w:tplc="3D3C8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AA2"/>
    <w:multiLevelType w:val="multilevel"/>
    <w:tmpl w:val="EDF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DA"/>
    <w:rsid w:val="00011D6F"/>
    <w:rsid w:val="00014C2D"/>
    <w:rsid w:val="00015F76"/>
    <w:rsid w:val="000303DA"/>
    <w:rsid w:val="00050BF6"/>
    <w:rsid w:val="000545F3"/>
    <w:rsid w:val="00055C31"/>
    <w:rsid w:val="00087D4F"/>
    <w:rsid w:val="000F08CB"/>
    <w:rsid w:val="00111861"/>
    <w:rsid w:val="0012510F"/>
    <w:rsid w:val="00160CB6"/>
    <w:rsid w:val="001E6A17"/>
    <w:rsid w:val="00210AC0"/>
    <w:rsid w:val="00297301"/>
    <w:rsid w:val="0029756D"/>
    <w:rsid w:val="003224E7"/>
    <w:rsid w:val="0034279E"/>
    <w:rsid w:val="003A5615"/>
    <w:rsid w:val="003E3861"/>
    <w:rsid w:val="003F6E5D"/>
    <w:rsid w:val="00402A10"/>
    <w:rsid w:val="00412EE7"/>
    <w:rsid w:val="00455A68"/>
    <w:rsid w:val="00495182"/>
    <w:rsid w:val="004A3112"/>
    <w:rsid w:val="004A4E39"/>
    <w:rsid w:val="004F69F2"/>
    <w:rsid w:val="005730BA"/>
    <w:rsid w:val="00593B6C"/>
    <w:rsid w:val="005C652B"/>
    <w:rsid w:val="005F3111"/>
    <w:rsid w:val="006D3B5B"/>
    <w:rsid w:val="006E0BED"/>
    <w:rsid w:val="007861A4"/>
    <w:rsid w:val="007D50C8"/>
    <w:rsid w:val="007E59FA"/>
    <w:rsid w:val="007E6618"/>
    <w:rsid w:val="00811400"/>
    <w:rsid w:val="008217D1"/>
    <w:rsid w:val="00881A65"/>
    <w:rsid w:val="008A6B16"/>
    <w:rsid w:val="008B7CA3"/>
    <w:rsid w:val="009118F5"/>
    <w:rsid w:val="0095630E"/>
    <w:rsid w:val="00993AA4"/>
    <w:rsid w:val="009D622F"/>
    <w:rsid w:val="00A15D31"/>
    <w:rsid w:val="00A22FBF"/>
    <w:rsid w:val="00A26322"/>
    <w:rsid w:val="00A63AC8"/>
    <w:rsid w:val="00A71A0A"/>
    <w:rsid w:val="00A809A4"/>
    <w:rsid w:val="00AE2CBC"/>
    <w:rsid w:val="00B36948"/>
    <w:rsid w:val="00BF0BC3"/>
    <w:rsid w:val="00C01C51"/>
    <w:rsid w:val="00C046F0"/>
    <w:rsid w:val="00C45BDA"/>
    <w:rsid w:val="00C704C3"/>
    <w:rsid w:val="00D27261"/>
    <w:rsid w:val="00DA06BB"/>
    <w:rsid w:val="00DA6861"/>
    <w:rsid w:val="00E26CFC"/>
    <w:rsid w:val="00E639AE"/>
    <w:rsid w:val="00E70428"/>
    <w:rsid w:val="00E936C8"/>
    <w:rsid w:val="00E9725A"/>
    <w:rsid w:val="00EB0DD4"/>
    <w:rsid w:val="00EB5620"/>
    <w:rsid w:val="00F224CC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4DE64A-FA99-4445-B44C-5E67100C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3D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A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11"/>
  </w:style>
  <w:style w:type="paragraph" w:styleId="Footer">
    <w:name w:val="footer"/>
    <w:basedOn w:val="Normal"/>
    <w:link w:val="FooterChar"/>
    <w:uiPriority w:val="99"/>
    <w:unhideWhenUsed/>
    <w:rsid w:val="005F3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11"/>
  </w:style>
  <w:style w:type="paragraph" w:styleId="NormalWeb">
    <w:name w:val="Normal (Web)"/>
    <w:basedOn w:val="Normal"/>
    <w:uiPriority w:val="99"/>
    <w:semiHidden/>
    <w:unhideWhenUsed/>
    <w:rsid w:val="0008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8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Smart-Smith, Ndaneh</cp:lastModifiedBy>
  <cp:revision>2</cp:revision>
  <cp:lastPrinted>2019-02-05T16:20:00Z</cp:lastPrinted>
  <dcterms:created xsi:type="dcterms:W3CDTF">2019-03-08T20:48:00Z</dcterms:created>
  <dcterms:modified xsi:type="dcterms:W3CDTF">2019-03-08T20:48:00Z</dcterms:modified>
</cp:coreProperties>
</file>